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FDA55">
      <w:pPr>
        <w:keepNext w:val="0"/>
        <w:keepLines w:val="0"/>
        <w:pageBreakBefore w:val="0"/>
        <w:widowControl w:val="0"/>
        <w:kinsoku/>
        <w:wordWrap/>
        <w:overflowPunct/>
        <w:topLinePunct w:val="0"/>
        <w:autoSpaceDE/>
        <w:autoSpaceDN/>
        <w:bidi w:val="0"/>
        <w:adjustRightInd w:val="0"/>
        <w:snapToGrid w:val="0"/>
        <w:spacing w:line="336" w:lineRule="auto"/>
        <w:jc w:val="center"/>
        <w:textAlignment w:val="auto"/>
        <w:outlineLvl w:val="9"/>
        <w:rPr>
          <w:rFonts w:hint="eastAsia" w:ascii="楷体_GB2312" w:hAnsi="楷体_GB2312" w:eastAsia="楷体_GB2312"/>
          <w:sz w:val="32"/>
        </w:rPr>
      </w:pPr>
      <w:r>
        <w:rPr>
          <w:rFonts w:hint="eastAsia" w:ascii="仿宋_GB2312" w:hAnsi="仿宋_GB2312" w:eastAsia="仿宋_GB2312"/>
          <w:color w:val="000000"/>
          <w:sz w:val="32"/>
        </w:rPr>
        <w:t xml:space="preserve">      </w:t>
      </w:r>
    </w:p>
    <w:p w14:paraId="34ED6ED7">
      <w:pPr>
        <w:keepNext w:val="0"/>
        <w:keepLines w:val="0"/>
        <w:pageBreakBefore w:val="0"/>
        <w:widowControl w:val="0"/>
        <w:kinsoku/>
        <w:wordWrap/>
        <w:overflowPunct/>
        <w:topLinePunct w:val="0"/>
        <w:autoSpaceDE/>
        <w:autoSpaceDN/>
        <w:bidi w:val="0"/>
        <w:adjustRightInd w:val="0"/>
        <w:snapToGrid w:val="0"/>
        <w:spacing w:line="336" w:lineRule="auto"/>
        <w:jc w:val="center"/>
        <w:textAlignment w:val="auto"/>
        <w:outlineLvl w:val="9"/>
        <w:rPr>
          <w:rFonts w:hint="eastAsia" w:ascii="楷体_GB2312" w:hAnsi="楷体_GB2312" w:eastAsia="楷体_GB2312"/>
          <w:sz w:val="32"/>
        </w:rPr>
      </w:pPr>
    </w:p>
    <w:p w14:paraId="5469AD9B">
      <w:pPr>
        <w:keepNext w:val="0"/>
        <w:keepLines w:val="0"/>
        <w:pageBreakBefore w:val="0"/>
        <w:widowControl w:val="0"/>
        <w:kinsoku/>
        <w:wordWrap/>
        <w:overflowPunct/>
        <w:topLinePunct w:val="0"/>
        <w:autoSpaceDE/>
        <w:autoSpaceDN/>
        <w:bidi w:val="0"/>
        <w:adjustRightInd w:val="0"/>
        <w:snapToGrid w:val="0"/>
        <w:spacing w:line="336" w:lineRule="auto"/>
        <w:jc w:val="center"/>
        <w:textAlignment w:val="auto"/>
        <w:outlineLvl w:val="9"/>
        <w:rPr>
          <w:rFonts w:hint="eastAsia" w:ascii="楷体_GB2312" w:hAnsi="楷体_GB2312" w:eastAsia="楷体_GB2312"/>
          <w:sz w:val="32"/>
        </w:rPr>
      </w:pPr>
    </w:p>
    <w:p w14:paraId="50D8EACA">
      <w:pPr>
        <w:keepNext w:val="0"/>
        <w:keepLines w:val="0"/>
        <w:pageBreakBefore w:val="0"/>
        <w:widowControl w:val="0"/>
        <w:kinsoku/>
        <w:wordWrap/>
        <w:overflowPunct/>
        <w:topLinePunct w:val="0"/>
        <w:autoSpaceDE/>
        <w:autoSpaceDN/>
        <w:bidi w:val="0"/>
        <w:adjustRightInd w:val="0"/>
        <w:snapToGrid w:val="0"/>
        <w:spacing w:line="336" w:lineRule="auto"/>
        <w:jc w:val="center"/>
        <w:textAlignment w:val="auto"/>
        <w:outlineLvl w:val="9"/>
        <w:rPr>
          <w:rFonts w:hint="eastAsia" w:ascii="楷体_GB2312" w:hAnsi="楷体_GB2312" w:eastAsia="楷体_GB2312"/>
          <w:sz w:val="32"/>
        </w:rPr>
      </w:pPr>
    </w:p>
    <w:p w14:paraId="7A6593FE">
      <w:pPr>
        <w:keepNext w:val="0"/>
        <w:keepLines w:val="0"/>
        <w:pageBreakBefore w:val="0"/>
        <w:widowControl w:val="0"/>
        <w:kinsoku/>
        <w:wordWrap/>
        <w:overflowPunct/>
        <w:topLinePunct w:val="0"/>
        <w:autoSpaceDE/>
        <w:autoSpaceDN/>
        <w:bidi w:val="0"/>
        <w:adjustRightInd w:val="0"/>
        <w:snapToGrid w:val="0"/>
        <w:spacing w:line="336" w:lineRule="auto"/>
        <w:jc w:val="center"/>
        <w:textAlignment w:val="auto"/>
        <w:outlineLvl w:val="9"/>
        <w:rPr>
          <w:rFonts w:hint="eastAsia" w:ascii="楷体_GB2312" w:hAnsi="楷体_GB2312" w:eastAsia="楷体_GB2312"/>
          <w:sz w:val="32"/>
        </w:rPr>
      </w:pPr>
    </w:p>
    <w:p w14:paraId="09D4F0B0">
      <w:pPr>
        <w:keepNext w:val="0"/>
        <w:keepLines w:val="0"/>
        <w:pageBreakBefore w:val="0"/>
        <w:widowControl w:val="0"/>
        <w:kinsoku/>
        <w:wordWrap/>
        <w:overflowPunct/>
        <w:topLinePunct w:val="0"/>
        <w:autoSpaceDE/>
        <w:autoSpaceDN/>
        <w:bidi w:val="0"/>
        <w:adjustRightInd w:val="0"/>
        <w:snapToGrid w:val="0"/>
        <w:spacing w:line="336" w:lineRule="auto"/>
        <w:jc w:val="center"/>
        <w:textAlignment w:val="auto"/>
        <w:outlineLvl w:val="9"/>
        <w:rPr>
          <w:rFonts w:hint="eastAsia" w:ascii="楷体_GB2312" w:hAnsi="楷体_GB2312" w:eastAsia="楷体_GB2312"/>
          <w:sz w:val="32"/>
        </w:rPr>
      </w:pPr>
    </w:p>
    <w:p w14:paraId="06467098">
      <w:pPr>
        <w:adjustRightInd w:val="0"/>
        <w:snapToGrid w:val="0"/>
        <w:spacing w:line="360" w:lineRule="auto"/>
        <w:ind w:left="0" w:leftChars="0" w:right="0" w:rightChars="0" w:firstLine="0" w:firstLineChars="0"/>
        <w:jc w:val="center"/>
        <w:rPr>
          <w:rFonts w:hint="eastAsia" w:ascii="楷体_GB2312" w:hAnsi="楷体_GB2312" w:eastAsia="楷体_GB2312" w:cs="楷体_GB2312"/>
          <w:color w:val="auto"/>
          <w:sz w:val="32"/>
          <w:lang w:val="en-US" w:eastAsia="zh-CN"/>
        </w:rPr>
      </w:pPr>
      <w:r>
        <w:rPr>
          <w:rFonts w:hint="eastAsia" w:ascii="仿宋_GB2312" w:hAnsi="仿宋_GB2312" w:eastAsia="仿宋_GB2312"/>
          <w:color w:val="auto"/>
          <w:sz w:val="32"/>
        </w:rPr>
        <w:t>池房金管〔20</w:t>
      </w:r>
      <w:r>
        <w:rPr>
          <w:rFonts w:hint="eastAsia" w:ascii="仿宋_GB2312" w:hAnsi="仿宋_GB2312" w:eastAsia="仿宋_GB2312"/>
          <w:color w:val="auto"/>
          <w:sz w:val="32"/>
          <w:lang w:val="en-US" w:eastAsia="zh-CN"/>
        </w:rPr>
        <w:t>25</w:t>
      </w:r>
      <w:r>
        <w:rPr>
          <w:rFonts w:hint="eastAsia" w:ascii="仿宋_GB2312" w:hAnsi="仿宋_GB2312" w:eastAsia="仿宋_GB2312"/>
          <w:color w:val="auto"/>
          <w:sz w:val="32"/>
        </w:rPr>
        <w:t>〕</w:t>
      </w:r>
      <w:r>
        <w:rPr>
          <w:rFonts w:hint="eastAsia" w:ascii="仿宋_GB2312" w:hAnsi="仿宋_GB2312" w:eastAsia="仿宋_GB2312"/>
          <w:color w:val="auto"/>
          <w:sz w:val="32"/>
          <w:lang w:val="en-US" w:eastAsia="zh-CN"/>
        </w:rPr>
        <w:t>9</w:t>
      </w:r>
      <w:r>
        <w:rPr>
          <w:rFonts w:hint="eastAsia" w:ascii="仿宋_GB2312" w:hAnsi="仿宋_GB2312" w:eastAsia="仿宋_GB2312"/>
          <w:color w:val="auto"/>
          <w:sz w:val="32"/>
        </w:rPr>
        <w:t>号</w:t>
      </w:r>
    </w:p>
    <w:p w14:paraId="39E7DB92">
      <w:pPr>
        <w:keepNext w:val="0"/>
        <w:keepLines w:val="0"/>
        <w:pageBreakBefore w:val="0"/>
        <w:widowControl w:val="0"/>
        <w:kinsoku/>
        <w:wordWrap/>
        <w:overflowPunct/>
        <w:topLinePunct w:val="0"/>
        <w:autoSpaceDE/>
        <w:autoSpaceDN/>
        <w:bidi w:val="0"/>
        <w:adjustRightInd w:val="0"/>
        <w:snapToGrid w:val="0"/>
        <w:spacing w:before="0" w:beforeLines="0" w:after="0" w:afterLines="0" w:line="72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color w:val="auto"/>
          <w:sz w:val="44"/>
          <w:szCs w:val="44"/>
        </w:rPr>
      </w:pPr>
      <w:r>
        <w:rPr>
          <w:rFonts w:hint="eastAsia" w:ascii="仿宋_GB2312" w:hAnsi="仿宋_GB2312" w:eastAsia="仿宋_GB2312"/>
          <w:color w:val="auto"/>
          <w:sz w:val="32"/>
        </w:rPr>
        <w:t xml:space="preserve">              </w:t>
      </w:r>
    </w:p>
    <w:p w14:paraId="5AE53E4A">
      <w:pPr>
        <w:spacing w:line="720" w:lineRule="exact"/>
        <w:jc w:val="center"/>
        <w:rPr>
          <w:rFonts w:hint="eastAsia" w:ascii="方正小标宋_GBK" w:hAnsi="方正小标宋_GBK" w:eastAsia="方正小标宋_GBK" w:cs="方正小标宋_GBK"/>
          <w:color w:val="auto"/>
          <w:sz w:val="44"/>
          <w:szCs w:val="44"/>
          <w:lang w:eastAsia="zh-CN"/>
        </w:rPr>
      </w:pPr>
      <w:r>
        <w:rPr>
          <w:rFonts w:hint="eastAsia" w:ascii="方正小标宋_GBK" w:hAnsi="方正小标宋_GBK" w:eastAsia="方正小标宋_GBK" w:cs="方正小标宋_GBK"/>
          <w:color w:val="auto"/>
          <w:sz w:val="44"/>
          <w:szCs w:val="44"/>
        </w:rPr>
        <w:t>关于开展202</w:t>
      </w:r>
      <w:r>
        <w:rPr>
          <w:rFonts w:hint="eastAsia" w:ascii="方正小标宋_GBK" w:hAnsi="方正小标宋_GBK" w:eastAsia="方正小标宋_GBK" w:cs="方正小标宋_GBK"/>
          <w:color w:val="auto"/>
          <w:sz w:val="44"/>
          <w:szCs w:val="44"/>
          <w:lang w:val="en-US" w:eastAsia="zh-CN"/>
        </w:rPr>
        <w:t>5</w:t>
      </w:r>
      <w:r>
        <w:rPr>
          <w:rFonts w:hint="eastAsia" w:ascii="方正小标宋_GBK" w:hAnsi="方正小标宋_GBK" w:eastAsia="方正小标宋_GBK" w:cs="方正小标宋_GBK"/>
          <w:color w:val="auto"/>
          <w:sz w:val="44"/>
          <w:szCs w:val="44"/>
        </w:rPr>
        <w:t>年度住房公积金缴存基数调整工作的通知</w:t>
      </w:r>
    </w:p>
    <w:p w14:paraId="738479D5">
      <w:pPr>
        <w:spacing w:line="560" w:lineRule="exact"/>
        <w:rPr>
          <w:rFonts w:asciiTheme="majorEastAsia" w:hAnsiTheme="majorEastAsia" w:eastAsiaTheme="majorEastAsia"/>
          <w:color w:val="auto"/>
          <w:sz w:val="44"/>
          <w:szCs w:val="44"/>
        </w:rPr>
      </w:pPr>
    </w:p>
    <w:p w14:paraId="113F6E76">
      <w:pPr>
        <w:keepNext w:val="0"/>
        <w:keepLines w:val="0"/>
        <w:pageBreakBefore w:val="0"/>
        <w:kinsoku/>
        <w:wordWrap/>
        <w:overflowPunct/>
        <w:topLinePunct w:val="0"/>
        <w:autoSpaceDE/>
        <w:autoSpaceDN/>
        <w:bidi w:val="0"/>
        <w:adjustRightInd/>
        <w:snapToGrid/>
        <w:spacing w:line="540" w:lineRule="exact"/>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各住房公积金缴存单位：</w:t>
      </w:r>
    </w:p>
    <w:p w14:paraId="520B7A45">
      <w:pPr>
        <w:keepNext w:val="0"/>
        <w:keepLines w:val="0"/>
        <w:pageBreakBefore w:val="0"/>
        <w:kinsoku/>
        <w:wordWrap/>
        <w:overflowPunct/>
        <w:topLinePunct w:val="0"/>
        <w:autoSpaceDE/>
        <w:autoSpaceDN/>
        <w:bidi w:val="0"/>
        <w:adjustRightInd/>
        <w:snapToGrid/>
        <w:spacing w:line="540" w:lineRule="exact"/>
        <w:ind w:firstLine="645"/>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根据《</w:t>
      </w:r>
      <w:r>
        <w:rPr>
          <w:rFonts w:hint="eastAsia" w:ascii="仿宋_GB2312" w:hAnsi="仿宋_GB2312" w:eastAsia="仿宋_GB2312" w:cs="仿宋_GB2312"/>
          <w:color w:val="auto"/>
          <w:sz w:val="32"/>
          <w:szCs w:val="32"/>
          <w:lang w:eastAsia="zh-CN"/>
        </w:rPr>
        <w:t>关于调整</w:t>
      </w:r>
      <w:r>
        <w:rPr>
          <w:rFonts w:hint="eastAsia" w:ascii="仿宋_GB2312" w:hAnsi="仿宋_GB2312" w:eastAsia="仿宋_GB2312" w:cs="仿宋_GB2312"/>
          <w:color w:val="auto"/>
          <w:sz w:val="32"/>
          <w:szCs w:val="32"/>
          <w:lang w:val="en-US" w:eastAsia="zh-CN"/>
        </w:rPr>
        <w:t>2025年度住房公积金缴存基数及缴存额上下限的通知》（池房金委〔2025〕3号）</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20"/>
          <w:lang w:val="en-US" w:eastAsia="zh-CN"/>
        </w:rPr>
        <w:t>《关于规范机关事业单位职工住房公积金缴存基数的通知》（池房金管〔2024〕11号）</w:t>
      </w:r>
      <w:r>
        <w:rPr>
          <w:rFonts w:hint="eastAsia" w:ascii="仿宋_GB2312" w:hAnsi="仿宋_GB2312" w:eastAsia="仿宋_GB2312" w:cs="仿宋_GB2312"/>
          <w:color w:val="auto"/>
          <w:sz w:val="32"/>
          <w:szCs w:val="32"/>
        </w:rPr>
        <w:t>等</w:t>
      </w:r>
      <w:r>
        <w:rPr>
          <w:rFonts w:hint="eastAsia" w:ascii="仿宋_GB2312" w:hAnsi="仿宋_GB2312" w:eastAsia="仿宋_GB2312" w:cs="仿宋_GB2312"/>
          <w:color w:val="auto"/>
          <w:sz w:val="32"/>
          <w:szCs w:val="32"/>
          <w:lang w:val="en-US" w:eastAsia="zh-CN"/>
        </w:rPr>
        <w:t>有</w:t>
      </w:r>
      <w:r>
        <w:rPr>
          <w:rFonts w:hint="eastAsia" w:ascii="仿宋_GB2312" w:hAnsi="仿宋_GB2312" w:eastAsia="仿宋_GB2312" w:cs="仿宋_GB2312"/>
          <w:color w:val="auto"/>
          <w:sz w:val="32"/>
          <w:szCs w:val="32"/>
        </w:rPr>
        <w:t>关规定，现就我市202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年度住房公积金缴存基数调整等有关事项通知如下：</w:t>
      </w:r>
    </w:p>
    <w:p w14:paraId="434F00F5">
      <w:pPr>
        <w:keepNext w:val="0"/>
        <w:keepLines w:val="0"/>
        <w:pageBreakBefore w:val="0"/>
        <w:numPr>
          <w:ilvl w:val="0"/>
          <w:numId w:val="1"/>
        </w:numPr>
        <w:kinsoku/>
        <w:wordWrap/>
        <w:overflowPunct/>
        <w:topLinePunct w:val="0"/>
        <w:autoSpaceDE/>
        <w:autoSpaceDN/>
        <w:bidi w:val="0"/>
        <w:adjustRightInd/>
        <w:snapToGrid/>
        <w:spacing w:line="540" w:lineRule="exact"/>
        <w:ind w:firstLine="640" w:firstLineChars="200"/>
        <w:jc w:val="left"/>
        <w:textAlignment w:val="auto"/>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基数调整</w:t>
      </w:r>
    </w:p>
    <w:p w14:paraId="71218894">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一）缴存基数</w:t>
      </w:r>
    </w:p>
    <w:p w14:paraId="34D3721E">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jc w:val="left"/>
        <w:textAlignment w:val="auto"/>
        <w:rPr>
          <w:rFonts w:hint="default" w:ascii="仿宋_GB2312" w:hAnsi="仿宋_GB2312" w:eastAsia="仿宋_GB2312" w:cs="仿宋_GB2312"/>
          <w:i w:val="0"/>
          <w:iCs w:val="0"/>
          <w:caps w:val="0"/>
          <w:color w:val="auto"/>
          <w:spacing w:val="0"/>
          <w:sz w:val="32"/>
          <w:szCs w:val="32"/>
          <w:shd w:val="clear" w:fill="FFFFFF"/>
          <w:lang w:val="en-US"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i w:val="0"/>
          <w:iCs w:val="0"/>
          <w:caps w:val="0"/>
          <w:color w:val="auto"/>
          <w:spacing w:val="0"/>
          <w:sz w:val="32"/>
          <w:szCs w:val="32"/>
          <w:shd w:val="clear" w:fill="FFFFFF"/>
          <w:lang w:val="en-US"/>
        </w:rPr>
        <w:t>202</w:t>
      </w:r>
      <w:r>
        <w:rPr>
          <w:rFonts w:hint="eastAsia" w:ascii="仿宋_GB2312" w:hAnsi="仿宋_GB2312" w:eastAsia="仿宋_GB2312" w:cs="仿宋_GB2312"/>
          <w:i w:val="0"/>
          <w:iCs w:val="0"/>
          <w:caps w:val="0"/>
          <w:color w:val="auto"/>
          <w:spacing w:val="0"/>
          <w:sz w:val="32"/>
          <w:szCs w:val="32"/>
          <w:shd w:val="clear" w:fill="FFFFFF"/>
          <w:lang w:val="en-US" w:eastAsia="zh-CN"/>
        </w:rPr>
        <w:t>5</w:t>
      </w:r>
      <w:r>
        <w:rPr>
          <w:rFonts w:hint="eastAsia" w:ascii="仿宋_GB2312" w:hAnsi="仿宋_GB2312" w:eastAsia="仿宋_GB2312" w:cs="仿宋_GB2312"/>
          <w:i w:val="0"/>
          <w:iCs w:val="0"/>
          <w:caps w:val="0"/>
          <w:color w:val="auto"/>
          <w:spacing w:val="0"/>
          <w:sz w:val="32"/>
          <w:szCs w:val="32"/>
          <w:shd w:val="clear" w:fill="FFFFFF"/>
        </w:rPr>
        <w:t>年度住房公积金缴存基数为职工</w:t>
      </w:r>
      <w:r>
        <w:rPr>
          <w:rFonts w:hint="eastAsia" w:ascii="仿宋_GB2312" w:hAnsi="仿宋_GB2312" w:eastAsia="仿宋_GB2312" w:cs="仿宋_GB2312"/>
          <w:i w:val="0"/>
          <w:iCs w:val="0"/>
          <w:caps w:val="0"/>
          <w:color w:val="auto"/>
          <w:spacing w:val="0"/>
          <w:sz w:val="32"/>
          <w:szCs w:val="32"/>
          <w:shd w:val="clear" w:fill="FFFFFF"/>
          <w:lang w:val="en-US"/>
        </w:rPr>
        <w:t>202</w:t>
      </w:r>
      <w:r>
        <w:rPr>
          <w:rFonts w:hint="eastAsia" w:ascii="仿宋_GB2312" w:hAnsi="仿宋_GB2312" w:eastAsia="仿宋_GB2312" w:cs="仿宋_GB2312"/>
          <w:i w:val="0"/>
          <w:iCs w:val="0"/>
          <w:caps w:val="0"/>
          <w:color w:val="auto"/>
          <w:spacing w:val="0"/>
          <w:sz w:val="32"/>
          <w:szCs w:val="32"/>
          <w:shd w:val="clear" w:fill="FFFFFF"/>
          <w:lang w:val="en-US" w:eastAsia="zh-CN"/>
        </w:rPr>
        <w:t>4</w:t>
      </w:r>
      <w:r>
        <w:rPr>
          <w:rFonts w:hint="eastAsia" w:ascii="仿宋_GB2312" w:hAnsi="仿宋_GB2312" w:eastAsia="仿宋_GB2312" w:cs="仿宋_GB2312"/>
          <w:i w:val="0"/>
          <w:iCs w:val="0"/>
          <w:caps w:val="0"/>
          <w:color w:val="auto"/>
          <w:spacing w:val="0"/>
          <w:sz w:val="32"/>
          <w:szCs w:val="32"/>
          <w:shd w:val="clear" w:fill="FFFFFF"/>
        </w:rPr>
        <w:t>年度（</w:t>
      </w:r>
      <w:r>
        <w:rPr>
          <w:rFonts w:hint="eastAsia" w:ascii="仿宋_GB2312" w:hAnsi="仿宋_GB2312" w:eastAsia="仿宋_GB2312" w:cs="仿宋_GB2312"/>
          <w:i w:val="0"/>
          <w:iCs w:val="0"/>
          <w:caps w:val="0"/>
          <w:color w:val="auto"/>
          <w:spacing w:val="0"/>
          <w:sz w:val="32"/>
          <w:szCs w:val="32"/>
          <w:shd w:val="clear" w:fill="FFFFFF"/>
          <w:lang w:val="en-US" w:eastAsia="zh-CN"/>
        </w:rPr>
        <w:t>2024年1月1日至2024年12月31日</w:t>
      </w:r>
      <w:r>
        <w:rPr>
          <w:rFonts w:hint="eastAsia" w:ascii="仿宋_GB2312" w:hAnsi="仿宋_GB2312" w:eastAsia="仿宋_GB2312" w:cs="仿宋_GB2312"/>
          <w:i w:val="0"/>
          <w:iCs w:val="0"/>
          <w:caps w:val="0"/>
          <w:color w:val="auto"/>
          <w:spacing w:val="0"/>
          <w:sz w:val="32"/>
          <w:szCs w:val="32"/>
          <w:shd w:val="clear" w:fill="FFFFFF"/>
        </w:rPr>
        <w:t>）月平均工资，但最高不得超过</w:t>
      </w:r>
      <w:r>
        <w:rPr>
          <w:rFonts w:hint="eastAsia" w:ascii="仿宋_GB2312" w:hAnsi="仿宋_GB2312" w:eastAsia="仿宋_GB2312" w:cs="仿宋_GB2312"/>
          <w:i w:val="0"/>
          <w:iCs w:val="0"/>
          <w:caps w:val="0"/>
          <w:color w:val="auto"/>
          <w:spacing w:val="0"/>
          <w:sz w:val="32"/>
          <w:szCs w:val="32"/>
          <w:shd w:val="clear" w:fill="FFFFFF"/>
          <w:lang w:val="en-US" w:eastAsia="zh-CN"/>
        </w:rPr>
        <w:t>池州</w:t>
      </w:r>
      <w:r>
        <w:rPr>
          <w:rFonts w:hint="eastAsia" w:ascii="仿宋_GB2312" w:hAnsi="仿宋_GB2312" w:eastAsia="仿宋_GB2312" w:cs="仿宋_GB2312"/>
          <w:i w:val="0"/>
          <w:iCs w:val="0"/>
          <w:caps w:val="0"/>
          <w:color w:val="auto"/>
          <w:spacing w:val="0"/>
          <w:sz w:val="32"/>
          <w:szCs w:val="32"/>
          <w:shd w:val="clear" w:fill="FFFFFF"/>
        </w:rPr>
        <w:t>市</w:t>
      </w:r>
      <w:r>
        <w:rPr>
          <w:rFonts w:hint="eastAsia" w:ascii="仿宋_GB2312" w:hAnsi="仿宋_GB2312" w:eastAsia="仿宋_GB2312" w:cs="仿宋_GB2312"/>
          <w:i w:val="0"/>
          <w:iCs w:val="0"/>
          <w:caps w:val="0"/>
          <w:color w:val="auto"/>
          <w:spacing w:val="0"/>
          <w:sz w:val="32"/>
          <w:szCs w:val="32"/>
          <w:shd w:val="clear" w:fill="FFFFFF"/>
          <w:lang w:val="en-US" w:eastAsia="zh-CN"/>
        </w:rPr>
        <w:t>2024年</w:t>
      </w:r>
      <w:r>
        <w:rPr>
          <w:rFonts w:hint="eastAsia" w:ascii="仿宋_GB2312" w:hAnsi="仿宋_GB2312" w:eastAsia="仿宋_GB2312" w:cs="仿宋_GB2312"/>
          <w:color w:val="auto"/>
          <w:sz w:val="32"/>
          <w:szCs w:val="32"/>
        </w:rPr>
        <w:t>城镇非私营单位</w:t>
      </w:r>
      <w:r>
        <w:rPr>
          <w:rFonts w:hint="eastAsia" w:ascii="仿宋_GB2312" w:hAnsi="仿宋_GB2312" w:eastAsia="仿宋_GB2312" w:cs="仿宋_GB2312"/>
          <w:color w:val="auto"/>
          <w:sz w:val="32"/>
          <w:szCs w:val="32"/>
          <w:lang w:val="en-US" w:eastAsia="zh-CN"/>
        </w:rPr>
        <w:t>在岗职工月</w:t>
      </w:r>
      <w:r>
        <w:rPr>
          <w:rFonts w:hint="eastAsia" w:ascii="仿宋_GB2312" w:hAnsi="仿宋_GB2312" w:eastAsia="仿宋_GB2312" w:cs="仿宋_GB2312"/>
          <w:color w:val="auto"/>
          <w:sz w:val="32"/>
          <w:szCs w:val="32"/>
        </w:rPr>
        <w:t>平均工资</w:t>
      </w:r>
      <w:r>
        <w:rPr>
          <w:rFonts w:hint="eastAsia" w:ascii="仿宋_GB2312" w:hAnsi="仿宋_GB2312" w:eastAsia="仿宋_GB2312" w:cs="仿宋_GB2312"/>
          <w:color w:val="auto"/>
          <w:sz w:val="32"/>
          <w:szCs w:val="32"/>
          <w:lang w:val="en-US" w:eastAsia="zh-CN"/>
        </w:rPr>
        <w:t>的3倍。</w:t>
      </w:r>
    </w:p>
    <w:p w14:paraId="7676E290">
      <w:pPr>
        <w:keepNext w:val="0"/>
        <w:keepLines w:val="0"/>
        <w:pageBreakBefore w:val="0"/>
        <w:kinsoku/>
        <w:wordWrap/>
        <w:overflowPunct/>
        <w:topLinePunct w:val="0"/>
        <w:autoSpaceDE/>
        <w:autoSpaceDN/>
        <w:bidi w:val="0"/>
        <w:adjustRightInd/>
        <w:snapToGrid/>
        <w:spacing w:line="540" w:lineRule="exact"/>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根据安徽省统计局公布的数据，202</w:t>
      </w:r>
      <w:r>
        <w:rPr>
          <w:rFonts w:hint="eastAsia" w:ascii="仿宋_GB2312" w:hAnsi="仿宋_GB2312" w:eastAsia="仿宋_GB2312" w:cs="仿宋_GB2312"/>
          <w:color w:val="auto"/>
          <w:sz w:val="32"/>
          <w:szCs w:val="32"/>
          <w:lang w:val="en-US" w:eastAsia="zh-CN"/>
        </w:rPr>
        <w:t>4</w:t>
      </w:r>
      <w:r>
        <w:rPr>
          <w:rFonts w:hint="eastAsia" w:ascii="仿宋_GB2312" w:hAnsi="仿宋_GB2312" w:eastAsia="仿宋_GB2312" w:cs="仿宋_GB2312"/>
          <w:color w:val="auto"/>
          <w:sz w:val="32"/>
          <w:szCs w:val="32"/>
        </w:rPr>
        <w:t>年度池州市城镇非私营单位就业人员年平均工资为</w:t>
      </w:r>
      <w:r>
        <w:rPr>
          <w:rFonts w:hint="eastAsia" w:ascii="仿宋_GB2312" w:hAnsi="仿宋_GB2312" w:eastAsia="仿宋_GB2312" w:cs="仿宋_GB2312"/>
          <w:color w:val="auto"/>
          <w:sz w:val="32"/>
          <w:szCs w:val="20"/>
          <w:lang w:val="en-US" w:eastAsia="zh-CN"/>
        </w:rPr>
        <w:t>98096</w:t>
      </w:r>
      <w:r>
        <w:rPr>
          <w:rFonts w:hint="eastAsia" w:ascii="仿宋_GB2312" w:hAnsi="仿宋_GB2312" w:eastAsia="仿宋_GB2312" w:cs="仿宋_GB2312"/>
          <w:color w:val="auto"/>
          <w:sz w:val="32"/>
          <w:szCs w:val="32"/>
        </w:rPr>
        <w:t>元</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据此核定，202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年度我市住房公积金缴存基数上限为</w:t>
      </w:r>
      <w:r>
        <w:rPr>
          <w:rFonts w:hint="eastAsia" w:ascii="仿宋_GB2312" w:hAnsi="仿宋_GB2312" w:eastAsia="仿宋_GB2312" w:cs="仿宋_GB2312"/>
          <w:color w:val="auto"/>
          <w:sz w:val="32"/>
          <w:szCs w:val="20"/>
          <w:lang w:val="en-US" w:eastAsia="zh-CN"/>
        </w:rPr>
        <w:t>24525</w:t>
      </w:r>
      <w:r>
        <w:rPr>
          <w:rFonts w:hint="eastAsia" w:ascii="仿宋_GB2312" w:hAnsi="仿宋_GB2312" w:eastAsia="仿宋_GB2312" w:cs="仿宋_GB2312"/>
          <w:color w:val="auto"/>
          <w:sz w:val="32"/>
          <w:szCs w:val="32"/>
        </w:rPr>
        <w:t>元，职工单位和个人住房公积金月缴存额上限各为</w:t>
      </w:r>
      <w:r>
        <w:rPr>
          <w:rFonts w:hint="eastAsia" w:ascii="仿宋_GB2312" w:hAnsi="仿宋_GB2312" w:eastAsia="仿宋_GB2312" w:cs="仿宋_GB2312"/>
          <w:color w:val="auto"/>
          <w:sz w:val="32"/>
          <w:szCs w:val="20"/>
          <w:lang w:val="en-US" w:eastAsia="zh-CN"/>
        </w:rPr>
        <w:t>2943</w:t>
      </w:r>
      <w:r>
        <w:rPr>
          <w:rFonts w:hint="eastAsia" w:ascii="仿宋_GB2312" w:hAnsi="仿宋_GB2312" w:eastAsia="仿宋_GB2312" w:cs="仿宋_GB2312"/>
          <w:color w:val="auto"/>
          <w:sz w:val="32"/>
          <w:szCs w:val="32"/>
        </w:rPr>
        <w:t>元</w:t>
      </w:r>
      <w:r>
        <w:rPr>
          <w:rFonts w:hint="eastAsia" w:ascii="仿宋_GB2312" w:hAnsi="仿宋_GB2312" w:eastAsia="仿宋_GB2312" w:cs="仿宋_GB2312"/>
          <w:color w:val="auto"/>
          <w:sz w:val="32"/>
          <w:szCs w:val="32"/>
          <w:lang w:eastAsia="zh-CN"/>
        </w:rPr>
        <w:t>。</w:t>
      </w:r>
    </w:p>
    <w:p w14:paraId="00EEE1E5">
      <w:pPr>
        <w:keepNext w:val="0"/>
        <w:keepLines w:val="0"/>
        <w:pageBreakBefore w:val="0"/>
        <w:kinsoku/>
        <w:wordWrap/>
        <w:overflowPunct/>
        <w:topLinePunct w:val="0"/>
        <w:autoSpaceDE/>
        <w:autoSpaceDN/>
        <w:bidi w:val="0"/>
        <w:adjustRightInd/>
        <w:snapToGrid/>
        <w:spacing w:line="540" w:lineRule="exact"/>
        <w:ind w:firstLine="640" w:firstLineChars="200"/>
        <w:jc w:val="left"/>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2、根据</w:t>
      </w:r>
      <w:r>
        <w:rPr>
          <w:rFonts w:hint="eastAsia" w:ascii="仿宋_GB2312" w:hAnsi="仿宋_GB2312" w:eastAsia="仿宋_GB2312" w:cs="仿宋_GB2312"/>
          <w:color w:val="auto"/>
          <w:sz w:val="32"/>
          <w:szCs w:val="32"/>
        </w:rPr>
        <w:t>《安徽省人民政府办公厅关于调整全省最低工资标准的通知》（皖政办秘〔2023〕2号）文件公布的池州市区最低工资标准</w:t>
      </w:r>
      <w:r>
        <w:rPr>
          <w:rFonts w:hint="eastAsia" w:ascii="仿宋_GB2312" w:hAnsi="仿宋_GB2312" w:eastAsia="仿宋_GB2312" w:cs="仿宋_GB2312"/>
          <w:color w:val="auto"/>
          <w:sz w:val="32"/>
          <w:szCs w:val="32"/>
          <w:lang w:val="en-US" w:eastAsia="zh-CN"/>
        </w:rPr>
        <w:t>规定</w:t>
      </w: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5</w:t>
      </w:r>
      <w:bookmarkStart w:id="0" w:name="_GoBack"/>
      <w:bookmarkEnd w:id="0"/>
      <w:r>
        <w:rPr>
          <w:rFonts w:hint="eastAsia" w:ascii="仿宋_GB2312" w:hAnsi="仿宋_GB2312" w:eastAsia="仿宋_GB2312" w:cs="仿宋_GB2312"/>
          <w:color w:val="auto"/>
          <w:sz w:val="32"/>
          <w:szCs w:val="32"/>
        </w:rPr>
        <w:t>年度我市住房公积金缴存基数下限为1870元，职工单位和个人住房公积金月缴存额下限各为94元。执行期间如遇最低工资标准调整，按新标准执行。</w:t>
      </w:r>
    </w:p>
    <w:p w14:paraId="6D609B09">
      <w:pPr>
        <w:pStyle w:val="7"/>
        <w:keepNext w:val="0"/>
        <w:keepLines w:val="0"/>
        <w:pageBreakBefore w:val="0"/>
        <w:shd w:val="clear" w:color="auto" w:fill="FFFFFF"/>
        <w:kinsoku/>
        <w:wordWrap/>
        <w:overflowPunct/>
        <w:topLinePunct w:val="0"/>
        <w:autoSpaceDE/>
        <w:autoSpaceDN/>
        <w:bidi w:val="0"/>
        <w:adjustRightInd/>
        <w:snapToGrid/>
        <w:spacing w:line="540" w:lineRule="exact"/>
        <w:ind w:firstLine="640" w:firstLineChars="200"/>
        <w:jc w:val="both"/>
        <w:textAlignment w:val="auto"/>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shd w:val="clear" w:color="auto" w:fill="FFFFFF"/>
          <w:lang w:val="en-US" w:eastAsia="zh-CN"/>
        </w:rPr>
        <w:t>（二）</w:t>
      </w:r>
      <w:r>
        <w:rPr>
          <w:rFonts w:hint="eastAsia" w:ascii="楷体_GB2312" w:hAnsi="楷体_GB2312" w:eastAsia="楷体_GB2312" w:cs="楷体_GB2312"/>
          <w:color w:val="auto"/>
          <w:sz w:val="32"/>
          <w:szCs w:val="32"/>
          <w:shd w:val="clear" w:color="auto" w:fill="FFFFFF"/>
        </w:rPr>
        <w:t>缴存比例</w:t>
      </w:r>
    </w:p>
    <w:p w14:paraId="2733503D">
      <w:pPr>
        <w:keepNext w:val="0"/>
        <w:keepLines w:val="0"/>
        <w:pageBreakBefore w:val="0"/>
        <w:kinsoku/>
        <w:wordWrap/>
        <w:overflowPunct/>
        <w:topLinePunct w:val="0"/>
        <w:autoSpaceDE/>
        <w:autoSpaceDN/>
        <w:bidi w:val="0"/>
        <w:adjustRightInd/>
        <w:snapToGrid/>
        <w:spacing w:line="540" w:lineRule="exact"/>
        <w:ind w:firstLine="640" w:firstLineChars="200"/>
        <w:jc w:val="left"/>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单位和个人住房公积金缴存比例应一致，</w:t>
      </w:r>
      <w:r>
        <w:rPr>
          <w:rFonts w:hint="eastAsia" w:ascii="仿宋_GB2312" w:hAnsi="仿宋_GB2312" w:eastAsia="仿宋_GB2312" w:cs="仿宋_GB2312"/>
          <w:color w:val="auto"/>
          <w:sz w:val="32"/>
          <w:szCs w:val="32"/>
          <w:lang w:val="en-US" w:eastAsia="zh-CN"/>
        </w:rPr>
        <w:t>均</w:t>
      </w:r>
      <w:r>
        <w:rPr>
          <w:rFonts w:hint="eastAsia" w:ascii="仿宋_GB2312" w:hAnsi="仿宋_GB2312" w:eastAsia="仿宋_GB2312" w:cs="仿宋_GB2312"/>
          <w:color w:val="auto"/>
          <w:sz w:val="32"/>
          <w:szCs w:val="32"/>
        </w:rPr>
        <w:t>不低于5%，最高不得超过12%。</w:t>
      </w:r>
    </w:p>
    <w:p w14:paraId="4BDC8E00">
      <w:pPr>
        <w:pStyle w:val="7"/>
        <w:keepNext w:val="0"/>
        <w:keepLines w:val="0"/>
        <w:pageBreakBefore w:val="0"/>
        <w:shd w:val="clear" w:color="auto" w:fill="FFFFFF"/>
        <w:kinsoku/>
        <w:wordWrap/>
        <w:overflowPunct/>
        <w:topLinePunct w:val="0"/>
        <w:autoSpaceDE/>
        <w:autoSpaceDN/>
        <w:bidi w:val="0"/>
        <w:adjustRightInd/>
        <w:snapToGrid/>
        <w:spacing w:line="540" w:lineRule="exact"/>
        <w:ind w:firstLine="643"/>
        <w:jc w:val="both"/>
        <w:textAlignment w:val="auto"/>
        <w:rPr>
          <w:rFonts w:ascii="楷体_GB2312" w:hAnsi="楷体_GB2312" w:eastAsia="楷体_GB2312" w:cs="楷体_GB2312"/>
          <w:color w:val="auto"/>
          <w:sz w:val="32"/>
          <w:szCs w:val="32"/>
        </w:rPr>
      </w:pP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lang w:val="en-US" w:eastAsia="zh-CN"/>
        </w:rPr>
        <w:t>三</w:t>
      </w:r>
      <w:r>
        <w:rPr>
          <w:rFonts w:hint="eastAsia" w:ascii="楷体_GB2312" w:hAnsi="楷体_GB2312" w:eastAsia="楷体_GB2312" w:cs="楷体_GB2312"/>
          <w:color w:val="auto"/>
          <w:sz w:val="32"/>
          <w:szCs w:val="32"/>
        </w:rPr>
        <w:t>）</w:t>
      </w:r>
      <w:r>
        <w:rPr>
          <w:rFonts w:hint="eastAsia" w:ascii="楷体_GB2312" w:hAnsi="楷体_GB2312" w:eastAsia="楷体_GB2312" w:cs="楷体_GB2312"/>
          <w:color w:val="auto"/>
          <w:sz w:val="32"/>
          <w:szCs w:val="32"/>
          <w:shd w:val="clear" w:color="auto" w:fill="FFFFFF"/>
        </w:rPr>
        <w:t>执行期限</w:t>
      </w:r>
    </w:p>
    <w:p w14:paraId="1025F442">
      <w:pPr>
        <w:keepNext w:val="0"/>
        <w:keepLines w:val="0"/>
        <w:pageBreakBefore w:val="0"/>
        <w:kinsoku/>
        <w:wordWrap/>
        <w:overflowPunct/>
        <w:topLinePunct w:val="0"/>
        <w:autoSpaceDE/>
        <w:autoSpaceDN/>
        <w:bidi w:val="0"/>
        <w:adjustRightInd/>
        <w:snapToGrid/>
        <w:spacing w:line="540" w:lineRule="exact"/>
        <w:ind w:firstLine="640" w:firstLineChars="20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调整后的缴存基数、缴存比例执行期限为202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年7月1日至202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年6月30日。</w:t>
      </w:r>
    </w:p>
    <w:p w14:paraId="0EBF2425">
      <w:pPr>
        <w:keepNext w:val="0"/>
        <w:keepLines w:val="0"/>
        <w:pageBreakBefore w:val="0"/>
        <w:numPr>
          <w:ilvl w:val="0"/>
          <w:numId w:val="0"/>
        </w:numPr>
        <w:kinsoku/>
        <w:wordWrap/>
        <w:overflowPunct/>
        <w:topLinePunct w:val="0"/>
        <w:autoSpaceDE/>
        <w:autoSpaceDN/>
        <w:bidi w:val="0"/>
        <w:adjustRightInd/>
        <w:snapToGrid/>
        <w:spacing w:line="540" w:lineRule="exact"/>
        <w:ind w:leftChars="0"/>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 xml:space="preserve"> </w:t>
      </w:r>
      <w:r>
        <w:rPr>
          <w:rFonts w:hint="eastAsia" w:ascii="黑体" w:hAnsi="黑体" w:eastAsia="黑体" w:cs="黑体"/>
          <w:color w:val="auto"/>
          <w:sz w:val="32"/>
          <w:szCs w:val="32"/>
          <w:lang w:val="en-US" w:eastAsia="zh-CN"/>
        </w:rPr>
        <w:t xml:space="preserve">   二、申报方式和时间</w:t>
      </w:r>
    </w:p>
    <w:p w14:paraId="07292FFA">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（一）申报方式</w:t>
      </w:r>
    </w:p>
    <w:p w14:paraId="2F3704B1">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进入池州市住房公积金管理中心网站（https://gjjzx.chizhou.gov.cn/），下载通知附件</w:t>
      </w: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年池州市住房公积金缴存职工年度工资基数核定表》</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认真填写审核，并由单位法人代表或负责人签字确认，加盖单位公章，通过池州市住房公积金网上汇补缴申报业务系统进行填报。</w:t>
      </w:r>
    </w:p>
    <w:p w14:paraId="3E48F1A4">
      <w:pPr>
        <w:keepNext w:val="0"/>
        <w:keepLines w:val="0"/>
        <w:pageBreakBefore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kern w:val="2"/>
          <w:sz w:val="32"/>
          <w:szCs w:val="32"/>
          <w:lang w:val="en-US" w:eastAsia="zh-CN" w:bidi="ar-SA"/>
        </w:rPr>
        <w:t>（二）</w:t>
      </w:r>
      <w:r>
        <w:rPr>
          <w:rFonts w:hint="eastAsia" w:ascii="楷体_GB2312" w:hAnsi="楷体_GB2312" w:eastAsia="楷体_GB2312" w:cs="楷体_GB2312"/>
          <w:color w:val="auto"/>
          <w:sz w:val="32"/>
          <w:szCs w:val="32"/>
          <w:lang w:val="en-US" w:eastAsia="zh-CN"/>
        </w:rPr>
        <w:t>申报流程</w:t>
      </w:r>
    </w:p>
    <w:p w14:paraId="7E24F343">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640" w:firstLineChars="200"/>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进入池州市住房公积金管理中心网站，按以下流程填报：便民服务——安徽政务服务网单位汇补缴申报——登录法人用户进入申报系统——汇补缴——汇缴申报——工资基数——增加个人——勾选需调整基数职工——录入新工资基数——保存清册——上传签字盖章的工资基数核定表图片——保存图片——保存清册并提交。</w:t>
      </w:r>
    </w:p>
    <w:p w14:paraId="0883ECE7">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kern w:val="2"/>
          <w:sz w:val="32"/>
          <w:szCs w:val="32"/>
          <w:lang w:val="en-US" w:eastAsia="zh-CN" w:bidi="ar-SA"/>
        </w:rPr>
        <w:t>（三）</w:t>
      </w:r>
      <w:r>
        <w:rPr>
          <w:rFonts w:hint="eastAsia" w:ascii="楷体_GB2312" w:hAnsi="楷体_GB2312" w:eastAsia="楷体_GB2312" w:cs="楷体_GB2312"/>
          <w:color w:val="auto"/>
          <w:sz w:val="32"/>
          <w:szCs w:val="32"/>
          <w:lang w:val="en-US" w:eastAsia="zh-CN"/>
        </w:rPr>
        <w:t xml:space="preserve">申报时间 </w:t>
      </w:r>
    </w:p>
    <w:p w14:paraId="6A23ED3A">
      <w:pPr>
        <w:keepNext w:val="0"/>
        <w:keepLines w:val="0"/>
        <w:pageBreakBefore w:val="0"/>
        <w:kinsoku/>
        <w:wordWrap/>
        <w:overflowPunct/>
        <w:topLinePunct w:val="0"/>
        <w:autoSpaceDE/>
        <w:autoSpaceDN/>
        <w:bidi w:val="0"/>
        <w:adjustRightInd/>
        <w:snapToGrid/>
        <w:spacing w:line="500" w:lineRule="exact"/>
        <w:ind w:left="0" w:leftChars="0" w:firstLine="645"/>
        <w:textAlignment w:val="auto"/>
        <w:rPr>
          <w:rFonts w:hint="eastAsia" w:ascii="仿宋_GB2312" w:hAnsi="仿宋_GB2312" w:eastAsia="仿宋_GB2312" w:cs="仿宋_GB2312"/>
          <w:color w:val="auto"/>
          <w:sz w:val="32"/>
          <w:szCs w:val="32"/>
          <w:lang w:eastAsia="zh-CN"/>
        </w:rPr>
      </w:pPr>
      <w:r>
        <w:rPr>
          <w:rFonts w:hint="eastAsia" w:ascii="仿宋_GB2312" w:hAnsi="宋体" w:eastAsia="仿宋_GB2312" w:cs="仿宋_GB2312"/>
          <w:i w:val="0"/>
          <w:iCs w:val="0"/>
          <w:caps w:val="0"/>
          <w:color w:val="auto"/>
          <w:spacing w:val="0"/>
          <w:sz w:val="32"/>
          <w:szCs w:val="32"/>
          <w:shd w:val="clear" w:fill="FFFFFF"/>
          <w:lang w:val="en-US" w:eastAsia="zh-CN"/>
        </w:rPr>
        <w:t>住房公积金缴存基数和缴存比例每缴存年度调整一次。</w:t>
      </w:r>
      <w:r>
        <w:rPr>
          <w:rFonts w:ascii="仿宋_GB2312" w:hAnsi="宋体" w:eastAsia="仿宋_GB2312" w:cs="仿宋_GB2312"/>
          <w:i w:val="0"/>
          <w:iCs w:val="0"/>
          <w:caps w:val="0"/>
          <w:color w:val="auto"/>
          <w:spacing w:val="0"/>
          <w:sz w:val="32"/>
          <w:szCs w:val="32"/>
          <w:shd w:val="clear" w:fill="FFFFFF"/>
          <w:lang w:val="en-US"/>
        </w:rPr>
        <w:t>202</w:t>
      </w:r>
      <w:r>
        <w:rPr>
          <w:rFonts w:hint="eastAsia" w:ascii="仿宋_GB2312" w:hAnsi="宋体" w:eastAsia="仿宋_GB2312" w:cs="仿宋_GB2312"/>
          <w:i w:val="0"/>
          <w:iCs w:val="0"/>
          <w:caps w:val="0"/>
          <w:color w:val="auto"/>
          <w:spacing w:val="0"/>
          <w:sz w:val="32"/>
          <w:szCs w:val="32"/>
          <w:shd w:val="clear" w:fill="FFFFFF"/>
          <w:lang w:val="en-US" w:eastAsia="zh-CN"/>
        </w:rPr>
        <w:t>5</w:t>
      </w:r>
      <w:r>
        <w:rPr>
          <w:rFonts w:hint="eastAsia" w:ascii="仿宋_GB2312" w:hAnsi="宋体" w:eastAsia="仿宋_GB2312" w:cs="仿宋_GB2312"/>
          <w:i w:val="0"/>
          <w:iCs w:val="0"/>
          <w:caps w:val="0"/>
          <w:color w:val="auto"/>
          <w:spacing w:val="0"/>
          <w:sz w:val="32"/>
          <w:szCs w:val="32"/>
          <w:shd w:val="clear" w:fill="FFFFFF"/>
        </w:rPr>
        <w:t>年度住房公积金</w:t>
      </w:r>
      <w:r>
        <w:rPr>
          <w:rFonts w:hint="eastAsia" w:ascii="仿宋_GB2312" w:hAnsi="宋体" w:eastAsia="仿宋_GB2312" w:cs="仿宋_GB2312"/>
          <w:i w:val="0"/>
          <w:iCs w:val="0"/>
          <w:caps w:val="0"/>
          <w:color w:val="auto"/>
          <w:spacing w:val="0"/>
          <w:sz w:val="32"/>
          <w:szCs w:val="32"/>
          <w:shd w:val="clear" w:fill="FFFFFF"/>
          <w:lang w:val="en-US" w:eastAsia="zh-CN"/>
        </w:rPr>
        <w:t>缴存</w:t>
      </w:r>
      <w:r>
        <w:rPr>
          <w:rFonts w:hint="eastAsia" w:ascii="仿宋_GB2312" w:hAnsi="宋体" w:eastAsia="仿宋_GB2312" w:cs="仿宋_GB2312"/>
          <w:i w:val="0"/>
          <w:iCs w:val="0"/>
          <w:caps w:val="0"/>
          <w:color w:val="auto"/>
          <w:spacing w:val="0"/>
          <w:sz w:val="32"/>
          <w:szCs w:val="32"/>
          <w:shd w:val="clear" w:fill="FFFFFF"/>
        </w:rPr>
        <w:t>基数</w:t>
      </w:r>
      <w:r>
        <w:rPr>
          <w:rFonts w:hint="eastAsia" w:ascii="仿宋_GB2312" w:hAnsi="宋体" w:eastAsia="仿宋_GB2312" w:cs="仿宋_GB2312"/>
          <w:i w:val="0"/>
          <w:iCs w:val="0"/>
          <w:caps w:val="0"/>
          <w:color w:val="auto"/>
          <w:spacing w:val="0"/>
          <w:sz w:val="32"/>
          <w:szCs w:val="32"/>
          <w:shd w:val="clear" w:fill="FFFFFF"/>
          <w:lang w:val="en-US" w:eastAsia="zh-CN"/>
        </w:rPr>
        <w:t>和缴存比例</w:t>
      </w:r>
      <w:r>
        <w:rPr>
          <w:rFonts w:hint="eastAsia" w:ascii="仿宋_GB2312" w:hAnsi="宋体" w:eastAsia="仿宋_GB2312" w:cs="仿宋_GB2312"/>
          <w:i w:val="0"/>
          <w:iCs w:val="0"/>
          <w:caps w:val="0"/>
          <w:color w:val="auto"/>
          <w:spacing w:val="0"/>
          <w:sz w:val="32"/>
          <w:szCs w:val="32"/>
          <w:shd w:val="clear" w:fill="FFFFFF"/>
        </w:rPr>
        <w:t>调整申报时间为</w:t>
      </w:r>
      <w:r>
        <w:rPr>
          <w:rFonts w:hint="eastAsia" w:ascii="仿宋_GB2312" w:hAnsi="仿宋_GB2312" w:eastAsia="仿宋_GB2312" w:cs="仿宋_GB2312"/>
          <w:color w:val="auto"/>
          <w:sz w:val="32"/>
          <w:szCs w:val="32"/>
        </w:rPr>
        <w:t>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年7月1日至</w:t>
      </w:r>
      <w:r>
        <w:rPr>
          <w:rFonts w:hint="eastAsia" w:ascii="仿宋_GB2312" w:hAnsi="仿宋_GB2312" w:eastAsia="仿宋_GB2312" w:cs="仿宋_GB2312"/>
          <w:color w:val="auto"/>
          <w:sz w:val="32"/>
          <w:szCs w:val="32"/>
          <w:lang w:val="en-US" w:eastAsia="zh-CN"/>
        </w:rPr>
        <w:t>8</w:t>
      </w:r>
      <w:r>
        <w:rPr>
          <w:rFonts w:hint="eastAsia" w:ascii="仿宋_GB2312" w:hAnsi="仿宋_GB2312" w:eastAsia="仿宋_GB2312" w:cs="仿宋_GB2312"/>
          <w:color w:val="auto"/>
          <w:sz w:val="32"/>
          <w:szCs w:val="32"/>
        </w:rPr>
        <w:t>月3</w:t>
      </w: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日</w:t>
      </w:r>
      <w:r>
        <w:rPr>
          <w:rFonts w:hint="eastAsia" w:ascii="仿宋_GB2312" w:hAnsi="仿宋_GB2312" w:eastAsia="仿宋_GB2312" w:cs="仿宋_GB2312"/>
          <w:color w:val="auto"/>
          <w:sz w:val="32"/>
          <w:szCs w:val="32"/>
          <w:lang w:eastAsia="zh-CN"/>
        </w:rPr>
        <w:t>。</w:t>
      </w:r>
    </w:p>
    <w:p w14:paraId="1BD684ED">
      <w:pPr>
        <w:keepNext w:val="0"/>
        <w:keepLines w:val="0"/>
        <w:pageBreakBefore w:val="0"/>
        <w:kinsoku/>
        <w:wordWrap/>
        <w:overflowPunct/>
        <w:topLinePunct w:val="0"/>
        <w:autoSpaceDE/>
        <w:autoSpaceDN/>
        <w:bidi w:val="0"/>
        <w:adjustRightInd/>
        <w:snapToGrid/>
        <w:spacing w:line="500" w:lineRule="exact"/>
        <w:ind w:left="0" w:leftChars="0" w:firstLine="645"/>
        <w:textAlignment w:val="auto"/>
        <w:rPr>
          <w:rFonts w:ascii="黑体" w:hAnsi="黑体" w:eastAsia="黑体" w:cs="黑体"/>
          <w:color w:val="auto"/>
          <w:sz w:val="32"/>
          <w:szCs w:val="32"/>
        </w:rPr>
      </w:pPr>
      <w:r>
        <w:rPr>
          <w:rFonts w:hint="eastAsia" w:ascii="黑体" w:hAnsi="黑体" w:eastAsia="黑体" w:cs="黑体"/>
          <w:color w:val="auto"/>
          <w:sz w:val="32"/>
          <w:szCs w:val="32"/>
          <w:lang w:val="en-US" w:eastAsia="zh-CN"/>
        </w:rPr>
        <w:t>三、相</w:t>
      </w:r>
      <w:r>
        <w:rPr>
          <w:rFonts w:hint="eastAsia" w:ascii="黑体" w:hAnsi="黑体" w:eastAsia="黑体" w:cs="黑体"/>
          <w:color w:val="auto"/>
          <w:sz w:val="32"/>
          <w:szCs w:val="32"/>
        </w:rPr>
        <w:t>关要求</w:t>
      </w:r>
    </w:p>
    <w:p w14:paraId="4B45EC30">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20"/>
          <w:lang w:val="en-US" w:eastAsia="zh-CN"/>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一）各</w:t>
      </w:r>
      <w:r>
        <w:rPr>
          <w:rFonts w:hint="eastAsia" w:ascii="仿宋_GB2312" w:hAnsi="仿宋_GB2312" w:eastAsia="仿宋_GB2312" w:cs="仿宋_GB2312"/>
          <w:color w:val="auto"/>
          <w:sz w:val="32"/>
          <w:szCs w:val="32"/>
        </w:rPr>
        <w:t>单位应严格按照</w:t>
      </w:r>
      <w:r>
        <w:rPr>
          <w:rFonts w:hint="eastAsia" w:ascii="仿宋_GB2312" w:hAnsi="仿宋_GB2312" w:eastAsia="仿宋_GB2312" w:cs="仿宋_GB2312"/>
          <w:color w:val="auto"/>
          <w:sz w:val="32"/>
          <w:szCs w:val="32"/>
          <w:lang w:val="en-US" w:eastAsia="zh-CN"/>
        </w:rPr>
        <w:t>国家统计局关于工资总额组成的相关规定</w:t>
      </w:r>
      <w:r>
        <w:rPr>
          <w:rFonts w:hint="eastAsia" w:ascii="仿宋_GB2312" w:hAnsi="仿宋_GB2312" w:eastAsia="仿宋_GB2312" w:cs="仿宋_GB2312"/>
          <w:color w:val="auto"/>
          <w:sz w:val="32"/>
          <w:szCs w:val="32"/>
        </w:rPr>
        <w:t>确定职工住房公积金缴存基数，</w:t>
      </w:r>
      <w:r>
        <w:rPr>
          <w:rFonts w:hint="eastAsia" w:ascii="仿宋_GB2312" w:hAnsi="仿宋_GB2312" w:eastAsia="仿宋_GB2312" w:cs="仿宋_GB2312"/>
          <w:color w:val="auto"/>
          <w:sz w:val="32"/>
          <w:szCs w:val="32"/>
          <w:lang w:val="en-US" w:eastAsia="zh-CN"/>
        </w:rPr>
        <w:t>并</w:t>
      </w:r>
      <w:r>
        <w:rPr>
          <w:rFonts w:hint="eastAsia" w:ascii="仿宋_GB2312" w:hAnsi="仿宋_GB2312" w:eastAsia="仿宋_GB2312" w:cs="仿宋_GB2312"/>
          <w:color w:val="auto"/>
          <w:sz w:val="32"/>
          <w:szCs w:val="32"/>
        </w:rPr>
        <w:t>对申报内容的</w:t>
      </w:r>
      <w:r>
        <w:rPr>
          <w:rFonts w:hint="eastAsia" w:ascii="仿宋_GB2312" w:hAnsi="仿宋_GB2312" w:eastAsia="仿宋_GB2312" w:cs="仿宋_GB2312"/>
          <w:color w:val="auto"/>
          <w:sz w:val="32"/>
          <w:szCs w:val="32"/>
          <w:lang w:val="en-US" w:eastAsia="zh-CN"/>
        </w:rPr>
        <w:t>准确</w:t>
      </w:r>
      <w:r>
        <w:rPr>
          <w:rFonts w:hint="eastAsia" w:ascii="仿宋_GB2312" w:hAnsi="仿宋_GB2312" w:eastAsia="仿宋_GB2312" w:cs="仿宋_GB2312"/>
          <w:color w:val="auto"/>
          <w:sz w:val="32"/>
          <w:szCs w:val="32"/>
        </w:rPr>
        <w:t>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lang w:val="en-US" w:eastAsia="zh-CN"/>
        </w:rPr>
        <w:t>合规性</w:t>
      </w:r>
      <w:r>
        <w:rPr>
          <w:rFonts w:hint="eastAsia" w:ascii="仿宋_GB2312" w:hAnsi="仿宋_GB2312" w:eastAsia="仿宋_GB2312" w:cs="仿宋_GB2312"/>
          <w:color w:val="auto"/>
          <w:sz w:val="32"/>
          <w:szCs w:val="32"/>
        </w:rPr>
        <w:t>负责。</w:t>
      </w:r>
      <w:r>
        <w:rPr>
          <w:rFonts w:hint="eastAsia" w:ascii="仿宋_GB2312" w:hAnsi="仿宋_GB2312" w:eastAsia="仿宋_GB2312" w:cs="仿宋_GB2312"/>
          <w:color w:val="auto"/>
          <w:sz w:val="32"/>
          <w:szCs w:val="20"/>
          <w:lang w:val="en-US" w:eastAsia="zh-CN"/>
        </w:rPr>
        <w:t>除国家统计局《关于工资总额组成的规定》（国家统计局1号令）中不列入工资总额的项目之外，上年度公积金单位缴存部分、医疗包干费、误餐补贴（餐费补助）、工会补贴等也不得纳入年度住房公积金缴存基数调整范围。</w:t>
      </w:r>
    </w:p>
    <w:p w14:paraId="3F955239">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20"/>
          <w:lang w:val="en-US" w:eastAsia="zh-CN"/>
        </w:rPr>
      </w:pPr>
      <w:r>
        <w:rPr>
          <w:rFonts w:hint="eastAsia" w:ascii="仿宋_GB2312" w:hAnsi="仿宋_GB2312" w:eastAsia="仿宋_GB2312" w:cs="仿宋_GB2312"/>
          <w:color w:val="auto"/>
          <w:sz w:val="32"/>
          <w:szCs w:val="20"/>
          <w:lang w:val="en-US" w:eastAsia="zh-CN"/>
        </w:rPr>
        <w:t>（二）</w:t>
      </w:r>
      <w:r>
        <w:rPr>
          <w:rFonts w:hint="eastAsia" w:ascii="仿宋_GB2312" w:hAnsi="Times New Roman" w:eastAsia="仿宋_GB2312" w:cs="仿宋_GB2312"/>
          <w:i w:val="0"/>
          <w:iCs w:val="0"/>
          <w:caps w:val="0"/>
          <w:color w:val="auto"/>
          <w:spacing w:val="0"/>
          <w:sz w:val="32"/>
          <w:szCs w:val="32"/>
          <w:shd w:val="clear" w:fill="FFFFFF"/>
        </w:rPr>
        <w:t>住房公积金尚未缴至</w:t>
      </w:r>
      <w:r>
        <w:rPr>
          <w:rFonts w:hint="default" w:ascii="仿宋_GB2312" w:hAnsi="仿宋_GB2312" w:eastAsia="仿宋_GB2312" w:cs="仿宋_GB2312"/>
          <w:color w:val="auto"/>
          <w:sz w:val="32"/>
          <w:szCs w:val="20"/>
          <w:lang w:val="en-US" w:eastAsia="zh-CN"/>
        </w:rPr>
        <w:t>202</w:t>
      </w:r>
      <w:r>
        <w:rPr>
          <w:rFonts w:hint="eastAsia" w:ascii="仿宋_GB2312" w:hAnsi="仿宋_GB2312" w:eastAsia="仿宋_GB2312" w:cs="仿宋_GB2312"/>
          <w:color w:val="auto"/>
          <w:sz w:val="32"/>
          <w:szCs w:val="20"/>
          <w:lang w:val="en-US" w:eastAsia="zh-CN"/>
        </w:rPr>
        <w:t>5年</w:t>
      </w:r>
      <w:r>
        <w:rPr>
          <w:rFonts w:hint="default" w:ascii="仿宋_GB2312" w:hAnsi="仿宋_GB2312" w:eastAsia="仿宋_GB2312" w:cs="仿宋_GB2312"/>
          <w:color w:val="auto"/>
          <w:sz w:val="32"/>
          <w:szCs w:val="20"/>
          <w:lang w:val="en-US" w:eastAsia="zh-CN"/>
        </w:rPr>
        <w:t>6</w:t>
      </w:r>
      <w:r>
        <w:rPr>
          <w:rFonts w:hint="eastAsia" w:ascii="仿宋_GB2312" w:hAnsi="仿宋_GB2312" w:eastAsia="仿宋_GB2312" w:cs="仿宋_GB2312"/>
          <w:color w:val="auto"/>
          <w:sz w:val="32"/>
          <w:szCs w:val="20"/>
          <w:lang w:val="en-US" w:eastAsia="zh-CN"/>
        </w:rPr>
        <w:t>月份</w:t>
      </w:r>
      <w:r>
        <w:rPr>
          <w:rFonts w:hint="eastAsia" w:ascii="仿宋_GB2312" w:hAnsi="Times New Roman" w:eastAsia="仿宋_GB2312" w:cs="仿宋_GB2312"/>
          <w:i w:val="0"/>
          <w:iCs w:val="0"/>
          <w:caps w:val="0"/>
          <w:color w:val="auto"/>
          <w:spacing w:val="0"/>
          <w:sz w:val="32"/>
          <w:szCs w:val="32"/>
          <w:shd w:val="clear" w:fill="FFFFFF"/>
        </w:rPr>
        <w:t>的单位，</w:t>
      </w:r>
      <w:r>
        <w:rPr>
          <w:rFonts w:hint="eastAsia" w:ascii="仿宋_GB2312" w:hAnsi="Times New Roman" w:eastAsia="仿宋_GB2312" w:cs="仿宋_GB2312"/>
          <w:i w:val="0"/>
          <w:iCs w:val="0"/>
          <w:caps w:val="0"/>
          <w:color w:val="auto"/>
          <w:spacing w:val="0"/>
          <w:sz w:val="32"/>
          <w:szCs w:val="32"/>
          <w:shd w:val="clear" w:fill="FFFFFF"/>
          <w:lang w:val="en-US" w:eastAsia="zh-CN"/>
        </w:rPr>
        <w:t>原则上</w:t>
      </w:r>
      <w:r>
        <w:rPr>
          <w:rFonts w:hint="eastAsia" w:ascii="仿宋_GB2312" w:hAnsi="Times New Roman" w:eastAsia="仿宋_GB2312" w:cs="仿宋_GB2312"/>
          <w:i w:val="0"/>
          <w:iCs w:val="0"/>
          <w:caps w:val="0"/>
          <w:color w:val="auto"/>
          <w:spacing w:val="0"/>
          <w:sz w:val="32"/>
          <w:szCs w:val="32"/>
          <w:shd w:val="clear" w:fill="FFFFFF"/>
        </w:rPr>
        <w:t>在补齐欠缴的住房公积金后进行缴存基数调整。</w:t>
      </w:r>
    </w:p>
    <w:p w14:paraId="2CBE39E0">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三</w:t>
      </w:r>
      <w:r>
        <w:rPr>
          <w:rFonts w:hint="eastAsia" w:ascii="仿宋_GB2312" w:hAnsi="仿宋_GB2312" w:eastAsia="仿宋_GB2312" w:cs="仿宋_GB2312"/>
          <w:color w:val="auto"/>
          <w:sz w:val="32"/>
          <w:szCs w:val="32"/>
        </w:rPr>
        <w:t>）单位在调整本单位职工的住房公积金缴存基数和缴存比例时，应告知职工本人，接受职工监督，依法依规维护职工合法权益。</w:t>
      </w:r>
    </w:p>
    <w:p w14:paraId="510E67B6">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（四）单位</w:t>
      </w:r>
      <w:r>
        <w:rPr>
          <w:rFonts w:hint="eastAsia" w:ascii="仿宋_GB2312" w:hAnsi="仿宋_GB2312" w:eastAsia="仿宋_GB2312" w:cs="仿宋_GB2312"/>
          <w:color w:val="auto"/>
          <w:sz w:val="32"/>
          <w:szCs w:val="32"/>
        </w:rPr>
        <w:t>因</w:t>
      </w:r>
      <w:r>
        <w:rPr>
          <w:rFonts w:hint="eastAsia" w:ascii="仿宋_GB2312" w:hAnsi="仿宋_GB2312" w:eastAsia="仿宋_GB2312" w:cs="仿宋_GB2312"/>
          <w:color w:val="auto"/>
          <w:sz w:val="32"/>
          <w:szCs w:val="32"/>
          <w:lang w:val="en-US" w:eastAsia="zh-CN"/>
        </w:rPr>
        <w:t>少</w:t>
      </w:r>
      <w:r>
        <w:rPr>
          <w:rFonts w:hint="eastAsia" w:ascii="仿宋_GB2312" w:hAnsi="仿宋_GB2312" w:eastAsia="仿宋_GB2312" w:cs="仿宋_GB2312"/>
          <w:color w:val="auto"/>
          <w:sz w:val="32"/>
          <w:szCs w:val="32"/>
        </w:rPr>
        <w:t>缴等原因确需补缴</w:t>
      </w:r>
      <w:r>
        <w:rPr>
          <w:rFonts w:hint="eastAsia" w:ascii="仿宋_GB2312" w:hAnsi="仿宋_GB2312" w:eastAsia="仿宋_GB2312" w:cs="仿宋_GB2312"/>
          <w:color w:val="auto"/>
          <w:sz w:val="32"/>
          <w:szCs w:val="32"/>
          <w:lang w:val="en-US" w:eastAsia="zh-CN"/>
        </w:rPr>
        <w:t>住房公积金的</w:t>
      </w:r>
      <w:r>
        <w:rPr>
          <w:rFonts w:hint="eastAsia" w:ascii="仿宋_GB2312" w:hAnsi="仿宋_GB2312" w:eastAsia="仿宋_GB2312" w:cs="仿宋_GB2312"/>
          <w:color w:val="auto"/>
          <w:sz w:val="32"/>
          <w:szCs w:val="32"/>
        </w:rPr>
        <w:t>，须报经中心审批后办理，</w:t>
      </w:r>
      <w:r>
        <w:rPr>
          <w:rFonts w:hint="eastAsia" w:ascii="仿宋_GB2312" w:hAnsi="仿宋_GB2312" w:eastAsia="仿宋_GB2312" w:cs="仿宋_GB2312"/>
          <w:color w:val="auto"/>
          <w:sz w:val="32"/>
          <w:szCs w:val="32"/>
          <w:lang w:val="en-US" w:eastAsia="zh-CN"/>
        </w:rPr>
        <w:t>中心根据住房公积金补缴范围规定进行审核，</w:t>
      </w:r>
      <w:r>
        <w:rPr>
          <w:rFonts w:hint="eastAsia" w:ascii="仿宋_GB2312" w:hAnsi="仿宋_GB2312" w:eastAsia="仿宋_GB2312" w:cs="仿宋_GB2312"/>
          <w:color w:val="auto"/>
          <w:sz w:val="32"/>
          <w:szCs w:val="32"/>
        </w:rPr>
        <w:t>未经中心审批的补缴、多缴</w:t>
      </w:r>
      <w:r>
        <w:rPr>
          <w:rFonts w:hint="eastAsia" w:ascii="仿宋_GB2312" w:hAnsi="仿宋_GB2312" w:eastAsia="仿宋_GB2312" w:cs="仿宋_GB2312"/>
          <w:color w:val="auto"/>
          <w:sz w:val="32"/>
          <w:szCs w:val="32"/>
          <w:lang w:eastAsia="zh-CN"/>
        </w:rPr>
        <w:t>等</w:t>
      </w:r>
      <w:r>
        <w:rPr>
          <w:rFonts w:hint="eastAsia" w:ascii="仿宋_GB2312" w:hAnsi="仿宋_GB2312" w:eastAsia="仿宋_GB2312" w:cs="仿宋_GB2312"/>
          <w:color w:val="auto"/>
          <w:sz w:val="32"/>
          <w:szCs w:val="32"/>
        </w:rPr>
        <w:t>款项将退回处理。</w:t>
      </w:r>
    </w:p>
    <w:p w14:paraId="14242FDE">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20"/>
          <w:lang w:val="en-US" w:eastAsia="zh-CN"/>
        </w:rPr>
      </w:pPr>
      <w:r>
        <w:rPr>
          <w:rFonts w:hint="eastAsia" w:ascii="仿宋_GB2312" w:hAnsi="仿宋_GB2312" w:eastAsia="仿宋_GB2312" w:cs="仿宋_GB2312"/>
          <w:color w:val="auto"/>
          <w:sz w:val="32"/>
          <w:szCs w:val="20"/>
          <w:lang w:val="en-US" w:eastAsia="zh-CN"/>
        </w:rPr>
        <w:t>（五）单位在申报基数调整业务时，应对以下信息进行核对，对错误信息及时办理变更手续：</w:t>
      </w:r>
    </w:p>
    <w:p w14:paraId="0CBAEA93">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20"/>
          <w:lang w:val="en-US" w:eastAsia="zh-CN"/>
        </w:rPr>
      </w:pPr>
      <w:r>
        <w:rPr>
          <w:rFonts w:hint="eastAsia" w:ascii="仿宋_GB2312" w:hAnsi="仿宋_GB2312" w:eastAsia="仿宋_GB2312" w:cs="仿宋_GB2312"/>
          <w:color w:val="auto"/>
          <w:sz w:val="32"/>
          <w:szCs w:val="20"/>
          <w:lang w:val="en-US" w:eastAsia="zh-CN"/>
        </w:rPr>
        <w:t>1.单位基础信息中行政区、邮编、经办人和法人的相关信息、电子邮箱、单位发薪日期、经济行业代码、单位隶属关系等；</w:t>
      </w:r>
    </w:p>
    <w:p w14:paraId="2F36BC87">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20"/>
          <w:lang w:val="en-US" w:eastAsia="zh-CN"/>
        </w:rPr>
      </w:pPr>
      <w:r>
        <w:rPr>
          <w:rFonts w:hint="eastAsia" w:ascii="仿宋_GB2312" w:hAnsi="仿宋_GB2312" w:eastAsia="仿宋_GB2312" w:cs="仿宋_GB2312"/>
          <w:color w:val="auto"/>
          <w:sz w:val="32"/>
          <w:szCs w:val="20"/>
          <w:lang w:val="en-US" w:eastAsia="zh-CN"/>
        </w:rPr>
        <w:t>2.职工个人基础信息中姓名、证件号码、手机号码等。</w:t>
      </w:r>
    </w:p>
    <w:p w14:paraId="0042D675">
      <w:pPr>
        <w:keepNext w:val="0"/>
        <w:keepLines w:val="0"/>
        <w:pageBreakBefore w:val="0"/>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20"/>
          <w:lang w:val="en-US" w:eastAsia="zh-CN"/>
        </w:rPr>
      </w:pPr>
      <w:r>
        <w:rPr>
          <w:rFonts w:hint="eastAsia" w:ascii="仿宋_GB2312" w:hAnsi="仿宋_GB2312" w:eastAsia="仿宋_GB2312" w:cs="仿宋_GB2312"/>
          <w:color w:val="auto"/>
          <w:sz w:val="32"/>
          <w:szCs w:val="20"/>
          <w:lang w:val="en-US" w:eastAsia="zh-CN"/>
        </w:rPr>
        <w:t>（六）单位在申报基数调整业务时，应对本单位职工个人账户封存满六个月及以上仍未销户的情形进行梳理，及时提醒并协助职工办理个人账户转移或销户提取手续。</w:t>
      </w:r>
    </w:p>
    <w:p w14:paraId="290866C4">
      <w:pPr>
        <w:keepNext w:val="0"/>
        <w:keepLines w:val="0"/>
        <w:pageBreakBefore w:val="0"/>
        <w:widowControl/>
        <w:shd w:val="clear" w:color="auto" w:fill="FFFFFF"/>
        <w:kinsoku/>
        <w:wordWrap/>
        <w:overflowPunct/>
        <w:topLinePunct w:val="0"/>
        <w:autoSpaceDE/>
        <w:autoSpaceDN/>
        <w:bidi w:val="0"/>
        <w:adjustRightInd/>
        <w:snapToGrid/>
        <w:spacing w:line="500" w:lineRule="exact"/>
        <w:ind w:left="0" w:leftChars="0" w:firstLine="960" w:firstLineChars="300"/>
        <w:jc w:val="left"/>
        <w:textAlignment w:val="auto"/>
        <w:rPr>
          <w:rFonts w:hint="eastAsia" w:ascii="仿宋_GB2312" w:hAnsi="仿宋_GB2312" w:eastAsia="仿宋_GB2312" w:cs="仿宋_GB2312"/>
          <w:color w:val="auto"/>
          <w:sz w:val="32"/>
          <w:szCs w:val="32"/>
          <w:shd w:val="clear" w:color="auto" w:fill="FFFFFF"/>
        </w:rPr>
      </w:pPr>
      <w:r>
        <w:rPr>
          <w:rFonts w:hint="eastAsia" w:ascii="仿宋_GB2312" w:hAnsi="仿宋_GB2312" w:eastAsia="仿宋_GB2312" w:cs="仿宋_GB2312"/>
          <w:color w:val="auto"/>
          <w:sz w:val="32"/>
          <w:szCs w:val="32"/>
        </w:rPr>
        <w:t>特此通知</w:t>
      </w:r>
    </w:p>
    <w:p w14:paraId="57F4CA8A">
      <w:pPr>
        <w:keepNext w:val="0"/>
        <w:keepLines w:val="0"/>
        <w:pageBreakBefore w:val="0"/>
        <w:widowControl/>
        <w:shd w:val="clear" w:color="auto" w:fill="FFFFFF"/>
        <w:kinsoku/>
        <w:wordWrap/>
        <w:overflowPunct/>
        <w:topLinePunct w:val="0"/>
        <w:autoSpaceDE/>
        <w:autoSpaceDN/>
        <w:bidi w:val="0"/>
        <w:adjustRightInd/>
        <w:snapToGrid/>
        <w:spacing w:line="500" w:lineRule="exact"/>
        <w:ind w:left="0" w:leftChars="0" w:firstLine="640" w:firstLineChars="200"/>
        <w:jc w:val="left"/>
        <w:textAlignment w:val="auto"/>
        <w:rPr>
          <w:rFonts w:hint="eastAsia" w:ascii="仿宋_GB2312" w:hAnsi="仿宋_GB2312" w:eastAsia="仿宋_GB2312" w:cs="仿宋_GB2312"/>
          <w:color w:val="auto"/>
          <w:sz w:val="32"/>
          <w:szCs w:val="32"/>
          <w:shd w:val="clear" w:color="auto" w:fill="FFFFFF"/>
        </w:rPr>
      </w:pPr>
    </w:p>
    <w:p w14:paraId="4138A038">
      <w:pPr>
        <w:keepNext w:val="0"/>
        <w:keepLines w:val="0"/>
        <w:pageBreakBefore w:val="0"/>
        <w:kinsoku/>
        <w:wordWrap/>
        <w:overflowPunct/>
        <w:topLinePunct w:val="0"/>
        <w:autoSpaceDE/>
        <w:autoSpaceDN/>
        <w:bidi w:val="0"/>
        <w:adjustRightInd/>
        <w:snapToGrid/>
        <w:spacing w:line="500" w:lineRule="exact"/>
        <w:ind w:left="1758" w:leftChars="456" w:hanging="800" w:hangingChars="250"/>
        <w:jc w:val="left"/>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附件：202</w:t>
      </w:r>
      <w:r>
        <w:rPr>
          <w:rFonts w:hint="eastAsia" w:ascii="仿宋_GB2312" w:hAnsi="仿宋_GB2312" w:eastAsia="仿宋_GB2312" w:cs="仿宋_GB2312"/>
          <w:color w:val="auto"/>
          <w:sz w:val="32"/>
          <w:szCs w:val="32"/>
          <w:lang w:val="en-US" w:eastAsia="zh-CN"/>
        </w:rPr>
        <w:t>5</w:t>
      </w:r>
      <w:r>
        <w:rPr>
          <w:rFonts w:hint="eastAsia" w:ascii="仿宋_GB2312" w:hAnsi="仿宋_GB2312" w:eastAsia="仿宋_GB2312" w:cs="仿宋_GB2312"/>
          <w:color w:val="auto"/>
          <w:sz w:val="32"/>
          <w:szCs w:val="32"/>
        </w:rPr>
        <w:t>年池州市住房公积金缴存职工年度工资基数核定表（表样）</w:t>
      </w:r>
    </w:p>
    <w:p w14:paraId="33246061">
      <w:pPr>
        <w:keepNext w:val="0"/>
        <w:keepLines w:val="0"/>
        <w:pageBreakBefore w:val="0"/>
        <w:kinsoku/>
        <w:wordWrap/>
        <w:overflowPunct/>
        <w:topLinePunct w:val="0"/>
        <w:autoSpaceDE/>
        <w:autoSpaceDN/>
        <w:bidi w:val="0"/>
        <w:adjustRightInd/>
        <w:snapToGrid/>
        <w:spacing w:line="500" w:lineRule="exact"/>
        <w:ind w:left="480" w:leftChars="0" w:hanging="480" w:hangingChars="150"/>
        <w:jc w:val="right"/>
        <w:textAlignment w:val="auto"/>
        <w:rPr>
          <w:rFonts w:hint="eastAsia" w:ascii="仿宋_GB2312" w:hAnsi="仿宋_GB2312" w:eastAsia="仿宋_GB2312" w:cs="仿宋_GB2312"/>
          <w:sz w:val="32"/>
          <w:szCs w:val="32"/>
        </w:rPr>
      </w:pPr>
    </w:p>
    <w:p w14:paraId="4DA0BF9E">
      <w:pPr>
        <w:keepNext w:val="0"/>
        <w:keepLines w:val="0"/>
        <w:pageBreakBefore w:val="0"/>
        <w:kinsoku/>
        <w:wordWrap/>
        <w:overflowPunct/>
        <w:topLinePunct w:val="0"/>
        <w:autoSpaceDE/>
        <w:autoSpaceDN/>
        <w:bidi w:val="0"/>
        <w:adjustRightInd/>
        <w:snapToGrid/>
        <w:spacing w:line="500" w:lineRule="exact"/>
        <w:ind w:left="480" w:leftChars="0" w:hanging="480" w:hangingChars="150"/>
        <w:jc w:val="center"/>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年6月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sz w:val="32"/>
          <w:szCs w:val="32"/>
        </w:rPr>
        <w:t>日</w:t>
      </w:r>
    </w:p>
    <w:sectPr>
      <w:footerReference r:id="rId3" w:type="default"/>
      <w:pgSz w:w="11906" w:h="16838"/>
      <w:pgMar w:top="1440" w:right="1531" w:bottom="1134" w:left="153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0C362DE-D2DB-4DF8-80F0-95949A63D0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embedRegular r:id="rId2" w:fontKey="{491AC850-1DCA-4094-90CC-0A6FD0FA66CA}"/>
  </w:font>
  <w:font w:name="仿宋_GB2312">
    <w:panose1 w:val="02010609030101010101"/>
    <w:charset w:val="86"/>
    <w:family w:val="modern"/>
    <w:pitch w:val="default"/>
    <w:sig w:usb0="00000001" w:usb1="080E0000" w:usb2="00000000" w:usb3="00000000" w:csb0="00040000" w:csb1="00000000"/>
    <w:embedRegular r:id="rId3" w:fontKey="{E53E467A-1DB8-4282-97FC-37A0E2EBA754}"/>
  </w:font>
  <w:font w:name="方正小标宋_GBK">
    <w:panose1 w:val="02000000000000000000"/>
    <w:charset w:val="86"/>
    <w:family w:val="script"/>
    <w:pitch w:val="default"/>
    <w:sig w:usb0="A00002BF" w:usb1="38CF7CFA" w:usb2="00082016" w:usb3="00000000" w:csb0="00040001" w:csb1="00000000"/>
    <w:embedRegular r:id="rId4" w:fontKey="{B019BE32-DC3F-49C7-A40B-324D076F8A9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33979"/>
    </w:sdtPr>
    <w:sdtContent>
      <w:p w14:paraId="75B14B07">
        <w:pPr>
          <w:pStyle w:val="5"/>
          <w:jc w:val="center"/>
        </w:pPr>
        <w:r>
          <w:fldChar w:fldCharType="begin"/>
        </w:r>
        <w:r>
          <w:instrText xml:space="preserve"> PAGE   \* MERGEFORMAT </w:instrText>
        </w:r>
        <w:r>
          <w:fldChar w:fldCharType="separate"/>
        </w:r>
        <w:r>
          <w:rPr>
            <w:lang w:val="zh-CN"/>
          </w:rPr>
          <w:t>4</w:t>
        </w:r>
        <w:r>
          <w:rPr>
            <w:lang w:val="zh-CN"/>
          </w:rPr>
          <w:fldChar w:fldCharType="end"/>
        </w:r>
      </w:p>
    </w:sdtContent>
  </w:sdt>
  <w:p w14:paraId="6DB2373D">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C784E5"/>
    <w:multiLevelType w:val="singleLevel"/>
    <w:tmpl w:val="B8C784E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OWNjYWU3ZjNiMDEzNmNhMGI1NTMxYmI5ODg5YjgxNzEifQ=="/>
  </w:docVars>
  <w:rsids>
    <w:rsidRoot w:val="00A35275"/>
    <w:rsid w:val="00027204"/>
    <w:rsid w:val="00041794"/>
    <w:rsid w:val="00042ED6"/>
    <w:rsid w:val="00046B22"/>
    <w:rsid w:val="00054E85"/>
    <w:rsid w:val="000A0923"/>
    <w:rsid w:val="00145FD8"/>
    <w:rsid w:val="00192C25"/>
    <w:rsid w:val="001C3C6C"/>
    <w:rsid w:val="001C4CCD"/>
    <w:rsid w:val="001E39B0"/>
    <w:rsid w:val="001F12BD"/>
    <w:rsid w:val="0021259A"/>
    <w:rsid w:val="002228EC"/>
    <w:rsid w:val="00233E47"/>
    <w:rsid w:val="0024481E"/>
    <w:rsid w:val="00295D7F"/>
    <w:rsid w:val="00376147"/>
    <w:rsid w:val="00387CA5"/>
    <w:rsid w:val="003D569A"/>
    <w:rsid w:val="003F203D"/>
    <w:rsid w:val="00497E3D"/>
    <w:rsid w:val="004B316A"/>
    <w:rsid w:val="00534459"/>
    <w:rsid w:val="00592709"/>
    <w:rsid w:val="005A4483"/>
    <w:rsid w:val="005B5376"/>
    <w:rsid w:val="005E42D3"/>
    <w:rsid w:val="005F2393"/>
    <w:rsid w:val="00600B69"/>
    <w:rsid w:val="006439C0"/>
    <w:rsid w:val="006769AB"/>
    <w:rsid w:val="006C282B"/>
    <w:rsid w:val="006C2E2D"/>
    <w:rsid w:val="007310A5"/>
    <w:rsid w:val="00745570"/>
    <w:rsid w:val="007455F7"/>
    <w:rsid w:val="00785D5C"/>
    <w:rsid w:val="007F7108"/>
    <w:rsid w:val="00803526"/>
    <w:rsid w:val="00846AAE"/>
    <w:rsid w:val="008A432B"/>
    <w:rsid w:val="008A7FF2"/>
    <w:rsid w:val="008C36D2"/>
    <w:rsid w:val="008D3A0D"/>
    <w:rsid w:val="008E6890"/>
    <w:rsid w:val="00913D55"/>
    <w:rsid w:val="009429D9"/>
    <w:rsid w:val="00955F66"/>
    <w:rsid w:val="009C255C"/>
    <w:rsid w:val="00A35275"/>
    <w:rsid w:val="00A4209B"/>
    <w:rsid w:val="00A50C5E"/>
    <w:rsid w:val="00A91C17"/>
    <w:rsid w:val="00AA0ABE"/>
    <w:rsid w:val="00AB56D1"/>
    <w:rsid w:val="00AD77D9"/>
    <w:rsid w:val="00B07BCD"/>
    <w:rsid w:val="00B11787"/>
    <w:rsid w:val="00B530C1"/>
    <w:rsid w:val="00B5666E"/>
    <w:rsid w:val="00CE74FF"/>
    <w:rsid w:val="00D10F22"/>
    <w:rsid w:val="00D241DA"/>
    <w:rsid w:val="00D52D52"/>
    <w:rsid w:val="00D83C2B"/>
    <w:rsid w:val="00DE6FB5"/>
    <w:rsid w:val="00DF041E"/>
    <w:rsid w:val="00E3095B"/>
    <w:rsid w:val="00E3567D"/>
    <w:rsid w:val="00E67A0F"/>
    <w:rsid w:val="00EB0943"/>
    <w:rsid w:val="00EB464A"/>
    <w:rsid w:val="00EE6A7D"/>
    <w:rsid w:val="00EF1013"/>
    <w:rsid w:val="00EF1AAA"/>
    <w:rsid w:val="00F13E89"/>
    <w:rsid w:val="00F912DC"/>
    <w:rsid w:val="01AE4954"/>
    <w:rsid w:val="02AE1EC3"/>
    <w:rsid w:val="02BF2B8F"/>
    <w:rsid w:val="04EB7572"/>
    <w:rsid w:val="05087233"/>
    <w:rsid w:val="058B29BF"/>
    <w:rsid w:val="05B178CA"/>
    <w:rsid w:val="05CC5B73"/>
    <w:rsid w:val="06C51B13"/>
    <w:rsid w:val="071661B3"/>
    <w:rsid w:val="075B6A63"/>
    <w:rsid w:val="07670520"/>
    <w:rsid w:val="076E058E"/>
    <w:rsid w:val="07BE7CD4"/>
    <w:rsid w:val="07DA7722"/>
    <w:rsid w:val="08113CD2"/>
    <w:rsid w:val="08562F65"/>
    <w:rsid w:val="089C5E20"/>
    <w:rsid w:val="09265ED9"/>
    <w:rsid w:val="09B408AC"/>
    <w:rsid w:val="0A140F54"/>
    <w:rsid w:val="0BFD6698"/>
    <w:rsid w:val="0CA86090"/>
    <w:rsid w:val="0E2826F4"/>
    <w:rsid w:val="0EA3253A"/>
    <w:rsid w:val="0EA855E3"/>
    <w:rsid w:val="10125409"/>
    <w:rsid w:val="10523A58"/>
    <w:rsid w:val="11175DEA"/>
    <w:rsid w:val="11DF131B"/>
    <w:rsid w:val="122B630F"/>
    <w:rsid w:val="138A737A"/>
    <w:rsid w:val="144A3613"/>
    <w:rsid w:val="15E74C42"/>
    <w:rsid w:val="1734686F"/>
    <w:rsid w:val="186D63A9"/>
    <w:rsid w:val="19AA220F"/>
    <w:rsid w:val="1ACA0112"/>
    <w:rsid w:val="1B6A4D1C"/>
    <w:rsid w:val="1B795746"/>
    <w:rsid w:val="1C37446B"/>
    <w:rsid w:val="1CA70C88"/>
    <w:rsid w:val="1CB25FAA"/>
    <w:rsid w:val="1CEE2D5A"/>
    <w:rsid w:val="1D176D36"/>
    <w:rsid w:val="1E364BB4"/>
    <w:rsid w:val="1EA638ED"/>
    <w:rsid w:val="1F435897"/>
    <w:rsid w:val="1F8B285D"/>
    <w:rsid w:val="201A7A95"/>
    <w:rsid w:val="20542ED4"/>
    <w:rsid w:val="210C7C53"/>
    <w:rsid w:val="219C0FD7"/>
    <w:rsid w:val="21CE0D17"/>
    <w:rsid w:val="22C10541"/>
    <w:rsid w:val="23305E7B"/>
    <w:rsid w:val="2397141A"/>
    <w:rsid w:val="241D168E"/>
    <w:rsid w:val="241F37F9"/>
    <w:rsid w:val="24A16FAB"/>
    <w:rsid w:val="255D282B"/>
    <w:rsid w:val="259F4BF2"/>
    <w:rsid w:val="2693705B"/>
    <w:rsid w:val="27253CD1"/>
    <w:rsid w:val="28101DD7"/>
    <w:rsid w:val="289427F7"/>
    <w:rsid w:val="28FC2D62"/>
    <w:rsid w:val="296C5733"/>
    <w:rsid w:val="2987431B"/>
    <w:rsid w:val="29ED0A4B"/>
    <w:rsid w:val="2B4D6E9E"/>
    <w:rsid w:val="2B6C37C8"/>
    <w:rsid w:val="2C9C632F"/>
    <w:rsid w:val="2CD94E8D"/>
    <w:rsid w:val="2CDE24A4"/>
    <w:rsid w:val="2DC6401F"/>
    <w:rsid w:val="2E503607"/>
    <w:rsid w:val="2E5E16FB"/>
    <w:rsid w:val="2E980D78"/>
    <w:rsid w:val="2F1A5843"/>
    <w:rsid w:val="2F795CC2"/>
    <w:rsid w:val="310E70CF"/>
    <w:rsid w:val="31183DBA"/>
    <w:rsid w:val="337B4EF0"/>
    <w:rsid w:val="343155AF"/>
    <w:rsid w:val="34D1675E"/>
    <w:rsid w:val="350B6DDA"/>
    <w:rsid w:val="368E1D46"/>
    <w:rsid w:val="36F20EBF"/>
    <w:rsid w:val="37060F75"/>
    <w:rsid w:val="384C6E5B"/>
    <w:rsid w:val="38966328"/>
    <w:rsid w:val="3A573895"/>
    <w:rsid w:val="3A5C534F"/>
    <w:rsid w:val="3AF20B1D"/>
    <w:rsid w:val="3B337E5E"/>
    <w:rsid w:val="3C5C1637"/>
    <w:rsid w:val="3D607521"/>
    <w:rsid w:val="402B37FA"/>
    <w:rsid w:val="41E225DE"/>
    <w:rsid w:val="41F30347"/>
    <w:rsid w:val="424666A6"/>
    <w:rsid w:val="425A02DC"/>
    <w:rsid w:val="44C91833"/>
    <w:rsid w:val="450F36EA"/>
    <w:rsid w:val="455C6204"/>
    <w:rsid w:val="45752389"/>
    <w:rsid w:val="46E36FD8"/>
    <w:rsid w:val="47292AEE"/>
    <w:rsid w:val="479E2B03"/>
    <w:rsid w:val="47A125F4"/>
    <w:rsid w:val="4862267A"/>
    <w:rsid w:val="48733F90"/>
    <w:rsid w:val="49247038"/>
    <w:rsid w:val="49855FD9"/>
    <w:rsid w:val="4A2B43F6"/>
    <w:rsid w:val="4A5A65F6"/>
    <w:rsid w:val="4A6D6769"/>
    <w:rsid w:val="4AB32D6A"/>
    <w:rsid w:val="4BC77592"/>
    <w:rsid w:val="4C843359"/>
    <w:rsid w:val="4CAA0313"/>
    <w:rsid w:val="4F3F4A0A"/>
    <w:rsid w:val="4FA77C38"/>
    <w:rsid w:val="500F4DC8"/>
    <w:rsid w:val="52065E75"/>
    <w:rsid w:val="52790714"/>
    <w:rsid w:val="52D63A99"/>
    <w:rsid w:val="535342A1"/>
    <w:rsid w:val="54317135"/>
    <w:rsid w:val="54C2074D"/>
    <w:rsid w:val="5596306C"/>
    <w:rsid w:val="55D54A04"/>
    <w:rsid w:val="55F04E72"/>
    <w:rsid w:val="579A28ED"/>
    <w:rsid w:val="587578B0"/>
    <w:rsid w:val="5947124D"/>
    <w:rsid w:val="59F64A21"/>
    <w:rsid w:val="5FBB658B"/>
    <w:rsid w:val="6037369D"/>
    <w:rsid w:val="615F32BF"/>
    <w:rsid w:val="62A770CD"/>
    <w:rsid w:val="63CA2F0F"/>
    <w:rsid w:val="64EB7804"/>
    <w:rsid w:val="65BF03BD"/>
    <w:rsid w:val="667E0A21"/>
    <w:rsid w:val="6694184A"/>
    <w:rsid w:val="66D209C9"/>
    <w:rsid w:val="67D621B4"/>
    <w:rsid w:val="68AC2CF6"/>
    <w:rsid w:val="69327321"/>
    <w:rsid w:val="697B2E40"/>
    <w:rsid w:val="69963BA9"/>
    <w:rsid w:val="6A647785"/>
    <w:rsid w:val="6A8C558F"/>
    <w:rsid w:val="6A8E6627"/>
    <w:rsid w:val="6A9E799E"/>
    <w:rsid w:val="6B985938"/>
    <w:rsid w:val="6C895281"/>
    <w:rsid w:val="6E830D22"/>
    <w:rsid w:val="6EFA06B8"/>
    <w:rsid w:val="6F1430F6"/>
    <w:rsid w:val="71467BE4"/>
    <w:rsid w:val="728E2A1A"/>
    <w:rsid w:val="734624B8"/>
    <w:rsid w:val="73DC038C"/>
    <w:rsid w:val="756366BD"/>
    <w:rsid w:val="75864A53"/>
    <w:rsid w:val="75943308"/>
    <w:rsid w:val="75F54A5F"/>
    <w:rsid w:val="7763329E"/>
    <w:rsid w:val="7A093051"/>
    <w:rsid w:val="7BB5307D"/>
    <w:rsid w:val="7C1B3FB9"/>
    <w:rsid w:val="7C472B99"/>
    <w:rsid w:val="7C9B68F5"/>
    <w:rsid w:val="7DD86068"/>
    <w:rsid w:val="7E56456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qFormat="1"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autoRedefine/>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table of authorities"/>
    <w:basedOn w:val="1"/>
    <w:next w:val="1"/>
    <w:unhideWhenUsed/>
    <w:qFormat/>
    <w:uiPriority w:val="0"/>
    <w:pPr>
      <w:ind w:left="420" w:leftChars="20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jc w:val="left"/>
    </w:pPr>
    <w:rPr>
      <w:rFonts w:ascii="宋体" w:hAnsi="宋体" w:eastAsia="宋体" w:cs="宋体"/>
      <w:kern w:val="0"/>
      <w:sz w:val="24"/>
      <w:szCs w:val="24"/>
    </w:rPr>
  </w:style>
  <w:style w:type="character" w:styleId="10">
    <w:name w:val="Strong"/>
    <w:basedOn w:val="9"/>
    <w:qFormat/>
    <w:uiPriority w:val="22"/>
    <w:rPr>
      <w:b/>
    </w:rPr>
  </w:style>
  <w:style w:type="paragraph" w:styleId="11">
    <w:name w:val="List Paragraph"/>
    <w:basedOn w:val="1"/>
    <w:qFormat/>
    <w:uiPriority w:val="34"/>
    <w:pPr>
      <w:ind w:firstLine="420" w:firstLineChars="200"/>
    </w:pPr>
  </w:style>
  <w:style w:type="character" w:customStyle="1" w:styleId="12">
    <w:name w:val="页眉 Char"/>
    <w:basedOn w:val="9"/>
    <w:link w:val="6"/>
    <w:semiHidden/>
    <w:qFormat/>
    <w:uiPriority w:val="99"/>
    <w:rPr>
      <w:sz w:val="18"/>
      <w:szCs w:val="18"/>
    </w:rPr>
  </w:style>
  <w:style w:type="character" w:customStyle="1" w:styleId="13">
    <w:name w:val="页脚 Char"/>
    <w:basedOn w:val="9"/>
    <w:link w:val="5"/>
    <w:qFormat/>
    <w:uiPriority w:val="99"/>
    <w:rPr>
      <w:sz w:val="18"/>
      <w:szCs w:val="18"/>
    </w:rPr>
  </w:style>
  <w:style w:type="character" w:customStyle="1" w:styleId="14">
    <w:name w:val="批注框文本 Char"/>
    <w:basedOn w:val="9"/>
    <w:link w:val="4"/>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1446</Words>
  <Characters>1569</Characters>
  <Lines>14</Lines>
  <Paragraphs>3</Paragraphs>
  <TotalTime>16</TotalTime>
  <ScaleCrop>false</ScaleCrop>
  <LinksUpToDate>false</LinksUpToDate>
  <CharactersWithSpaces>1614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2023-06-06T06:52:00Z</dcterms:created>
  <dc:creator>Administrator</dc:creator>
  <cp:lastModifiedBy>吴玮</cp:lastModifiedBy>
  <cp:lastPrinted>2024-06-26T03:09:00Z</cp:lastPrinted>
  <dcterms:modified xsi:type="dcterms:W3CDTF">2025-07-01T00:16:22Z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511B30B338134186B5391959EB7436EC</vt:lpwstr>
  </property>
  <property fmtid="{D5CDD505-2E9C-101B-9397-08002B2CF9AE}" pid="4" name="KSOTemplateDocerSaveRecord">
    <vt:lpwstr>eyJoZGlkIjoiYTc1NDI1ODFkZjcwODI0ODc1Njk2MTBlM2Y4Y2RjOTkiLCJ1c2VySWQiOiIxOTk3NzIwMDMifQ==</vt:lpwstr>
  </property>
</Properties>
</file>